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3E" w:rsidRDefault="00AD333E" w:rsidP="00AD333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D333E" w:rsidRDefault="00AD333E" w:rsidP="00AD333E">
      <w:pPr>
        <w:pStyle w:val="ConsPlusNormal"/>
        <w:outlineLvl w:val="0"/>
      </w:pPr>
    </w:p>
    <w:p w:rsidR="00AD333E" w:rsidRDefault="00AD333E" w:rsidP="00AD333E">
      <w:pPr>
        <w:pStyle w:val="ConsPlusTitle"/>
        <w:jc w:val="center"/>
        <w:outlineLvl w:val="0"/>
      </w:pPr>
      <w:r>
        <w:t>ДУМА КОНДИНСКОГО РАЙОНА</w:t>
      </w:r>
    </w:p>
    <w:p w:rsidR="00AD333E" w:rsidRDefault="00AD333E" w:rsidP="00AD333E">
      <w:pPr>
        <w:pStyle w:val="ConsPlusTitle"/>
        <w:jc w:val="center"/>
      </w:pPr>
    </w:p>
    <w:p w:rsidR="00AD333E" w:rsidRDefault="00AD333E" w:rsidP="00AD333E">
      <w:pPr>
        <w:pStyle w:val="ConsPlusTitle"/>
        <w:jc w:val="center"/>
      </w:pPr>
      <w:r>
        <w:t>РЕШЕНИЕ</w:t>
      </w:r>
    </w:p>
    <w:p w:rsidR="00AD333E" w:rsidRDefault="00AD333E" w:rsidP="00AD333E">
      <w:pPr>
        <w:pStyle w:val="ConsPlusTitle"/>
        <w:jc w:val="center"/>
      </w:pPr>
      <w:r>
        <w:t>от 25 декабря 2024 г. N 1212</w:t>
      </w:r>
    </w:p>
    <w:p w:rsidR="00AD333E" w:rsidRDefault="00AD333E" w:rsidP="00AD333E">
      <w:pPr>
        <w:pStyle w:val="ConsPlusTitle"/>
        <w:jc w:val="center"/>
      </w:pPr>
    </w:p>
    <w:p w:rsidR="00AD333E" w:rsidRDefault="00AD333E" w:rsidP="00AD333E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AD333E" w:rsidRDefault="00AD333E" w:rsidP="00AD333E">
      <w:pPr>
        <w:pStyle w:val="ConsPlusTitle"/>
        <w:jc w:val="center"/>
      </w:pPr>
      <w:r>
        <w:t>НА 2025 ГОД И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AD333E" w:rsidRDefault="00AD333E" w:rsidP="00AD333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D333E" w:rsidTr="00A92AA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33E" w:rsidRDefault="00AD333E" w:rsidP="00A92AA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33E" w:rsidRDefault="00AD333E" w:rsidP="00A92AA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D333E" w:rsidRDefault="00AD333E" w:rsidP="00A92A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333E" w:rsidRDefault="00AD333E" w:rsidP="00A92AA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решений Думы Кондинского района от 28.01.2025 </w:t>
            </w:r>
            <w:hyperlink r:id="rId6">
              <w:r>
                <w:rPr>
                  <w:color w:val="0000FF"/>
                </w:rPr>
                <w:t>N 1216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D333E" w:rsidRDefault="00AD333E" w:rsidP="00A92AA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25.02.2025 </w:t>
            </w:r>
            <w:hyperlink r:id="rId7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33E" w:rsidRDefault="00AD333E" w:rsidP="00A92AA5">
            <w:pPr>
              <w:pStyle w:val="ConsPlusNormal"/>
            </w:pPr>
          </w:p>
        </w:tc>
      </w:tr>
    </w:tbl>
    <w:p w:rsidR="00AD333E" w:rsidRDefault="00AD333E" w:rsidP="00AD333E">
      <w:pPr>
        <w:pStyle w:val="ConsPlusNormal"/>
        <w:ind w:firstLine="540"/>
        <w:jc w:val="both"/>
      </w:pPr>
    </w:p>
    <w:p w:rsidR="00AD333E" w:rsidRDefault="00AD333E" w:rsidP="00AD333E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8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9">
        <w:r>
          <w:rPr>
            <w:color w:val="0000FF"/>
          </w:rPr>
          <w:t>статьями 15</w:t>
        </w:r>
      </w:hyperlink>
      <w:r>
        <w:t xml:space="preserve"> и </w:t>
      </w:r>
      <w:hyperlink r:id="rId10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11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12">
        <w:r>
          <w:rPr>
            <w:color w:val="0000FF"/>
          </w:rPr>
          <w:t>статьей 39</w:t>
        </w:r>
      </w:hyperlink>
      <w:r>
        <w:t xml:space="preserve"> Устава Кондинского района, </w:t>
      </w:r>
      <w:hyperlink r:id="rId13">
        <w:r>
          <w:rPr>
            <w:color w:val="0000FF"/>
          </w:rPr>
          <w:t>решением</w:t>
        </w:r>
      </w:hyperlink>
      <w:r>
        <w:t xml:space="preserve"> Думы Кондинского района от 15 сентября 2011 года N 133 "Об утверждении Положения о бюджетном процессе в муниципальном</w:t>
      </w:r>
      <w:proofErr w:type="gramEnd"/>
      <w:r>
        <w:t xml:space="preserve"> </w:t>
      </w:r>
      <w:proofErr w:type="gramStart"/>
      <w:r>
        <w:t>образовании</w:t>
      </w:r>
      <w:proofErr w:type="gramEnd"/>
      <w:r>
        <w:t xml:space="preserve"> Кондинский район" (далее - Положение о бюджетном процессе района), Дума Кондинского района решила: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муниципального образования Кондинский район (далее - бюджет района) на 2025 год и на плановый период 2026 и 2027 годов: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222">
        <w:r>
          <w:rPr>
            <w:color w:val="0000FF"/>
          </w:rPr>
          <w:t>приложениям 1</w:t>
        </w:r>
      </w:hyperlink>
      <w:r>
        <w:t xml:space="preserve"> и </w:t>
      </w:r>
      <w:hyperlink w:anchor="P796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на 2025 год - 6 058 448 473,48 рублей;</w:t>
      </w:r>
    </w:p>
    <w:p w:rsidR="00AD333E" w:rsidRDefault="00AD333E" w:rsidP="00AD333E">
      <w:pPr>
        <w:pStyle w:val="ConsPlusNormal"/>
        <w:jc w:val="both"/>
      </w:pPr>
      <w:r>
        <w:t xml:space="preserve">(пп. "а" в ред. </w:t>
      </w:r>
      <w:hyperlink r:id="rId14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б) на 2026 год - 5 756 585 800,84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в) на 2027 год - 5 593 702 723,04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2) Общий объем расходов бюджета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на 2025 год - 6 159 795 519,98 рублей;</w:t>
      </w:r>
    </w:p>
    <w:p w:rsidR="00AD333E" w:rsidRDefault="00AD333E" w:rsidP="00AD333E">
      <w:pPr>
        <w:pStyle w:val="ConsPlusNormal"/>
        <w:jc w:val="both"/>
      </w:pPr>
      <w:r>
        <w:t xml:space="preserve">(пп. "а" в ред. </w:t>
      </w:r>
      <w:hyperlink r:id="rId15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б) на 2026 год - 5 715 919 100,84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в) на 2027 год - 5 580 369 473,04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Прогнозируемый дефицит/профицит бюджета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на 2025 год бюджет района с дефицитом в сумме 101 347 046,50 рублей;</w:t>
      </w:r>
    </w:p>
    <w:p w:rsidR="00AD333E" w:rsidRDefault="00AD333E" w:rsidP="00AD333E">
      <w:pPr>
        <w:pStyle w:val="ConsPlusNormal"/>
        <w:jc w:val="both"/>
      </w:pPr>
      <w:r>
        <w:t xml:space="preserve">(пп. "а" 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б) на 2026 год бюджет района с профицитом в сумме 40 666 700,00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в) на 2027 год бюджет района с профицитом в сумме 13 333 250,00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4) Объем условно утверждаемых расходов бюджета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на 2026 год в размере 53 173 067,28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lastRenderedPageBreak/>
        <w:t>б) на 2027 год в размере 108 902 514,25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5) Объем муниципального дорожного фонда Кондинского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на 2025 год в сумме 316 982 967,99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143 342 516,53 рублей;</w:t>
      </w:r>
    </w:p>
    <w:p w:rsidR="00AD333E" w:rsidRDefault="00AD333E" w:rsidP="00AD333E">
      <w:pPr>
        <w:pStyle w:val="ConsPlusNormal"/>
        <w:jc w:val="both"/>
      </w:pPr>
      <w:r>
        <w:t xml:space="preserve">(пп. "а"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б) на 2026 год в сумме 463 300 198,71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236 671 038,71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210 755 938,71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на 1 января 2026 года в сумме 78 585 768,23 рублей, в том числе верхний предел долга по муниципальным гарантиям в сумме 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на 2025 год в сумме 101 000,00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б) на 2026 год в сумме 56 000,00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в) на 2027 год в сумме 28 000,00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12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8005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4813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18032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lastRenderedPageBreak/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1259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21578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2014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35422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6. Утвердить в составе расходов бюджета района резервный фонд администрации Кондинского района (далее - администрация района):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на 2025 год в сумме 1 000 000,00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2) на 2026 год в сумме 1 000 000,00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на 2027 год в сумме 1 000 000,00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на 2025 год в сумме 14 959 176,52 рублей;</w:t>
      </w:r>
    </w:p>
    <w:p w:rsidR="00AD333E" w:rsidRDefault="00AD333E" w:rsidP="00AD333E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на 2026 год в сумме 3 163 875,43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на 2027 год в сумме 3 282 416,13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Направления использования бюджетных ассигнований иным образом зарезервированных: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Кондинского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- на обеспечение доли софинансирования при участии в государственных программах Ханты-Мансийского автономного округа - Югры;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- на обеспечение расходных обязательств на реализацию структурных элементов муниципальных программ Кондинского района.</w:t>
      </w:r>
    </w:p>
    <w:p w:rsidR="00AD333E" w:rsidRDefault="00AD333E" w:rsidP="00AD333E">
      <w:pPr>
        <w:pStyle w:val="ConsPlusNormal"/>
        <w:jc w:val="both"/>
      </w:pPr>
      <w:r>
        <w:t xml:space="preserve">(часть 6 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на 2025 год в сумме 13 688 000,00 рублей;</w:t>
      </w:r>
    </w:p>
    <w:p w:rsidR="00AD333E" w:rsidRDefault="00AD333E" w:rsidP="00AD333E">
      <w:pPr>
        <w:pStyle w:val="ConsPlusNormal"/>
        <w:jc w:val="both"/>
      </w:pPr>
      <w:r>
        <w:t xml:space="preserve">(п. 1 в ред. </w:t>
      </w:r>
      <w:hyperlink r:id="rId20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lastRenderedPageBreak/>
        <w:t>2) на 2026 год в сумме 5 588 000,00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на 2027 год в сумме 5 588 000,00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21">
        <w:r>
          <w:rPr>
            <w:color w:val="0000FF"/>
          </w:rPr>
          <w:t>статьями 78</w:t>
        </w:r>
      </w:hyperlink>
      <w:r>
        <w:t xml:space="preserve">, </w:t>
      </w:r>
      <w:hyperlink r:id="rId22">
        <w:r>
          <w:rPr>
            <w:color w:val="0000FF"/>
          </w:rPr>
          <w:t>78.1</w:t>
        </w:r>
      </w:hyperlink>
      <w:r>
        <w:t xml:space="preserve"> Бюджетного кодекса Российской Федерации, </w:t>
      </w:r>
      <w:proofErr w:type="gramStart"/>
      <w:r>
        <w:t>на</w:t>
      </w:r>
      <w:proofErr w:type="gramEnd"/>
      <w:r>
        <w:t>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12) субсидии на оказание финансовой поддержки социально ориентированным некоммерческим организациям;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</w:t>
      </w:r>
      <w:r>
        <w:lastRenderedPageBreak/>
        <w:t>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16) 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17) 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19)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9. Утвердить в бюджете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16 367 833,34 рублей, на 2026 год в сумме 16 709 000,00 рублей, на 2027 год в сумме 19 764 000,00 рублей</w:t>
      </w:r>
      <w:proofErr w:type="gramEnd"/>
      <w:r>
        <w:t>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4 819 200,00 рублей, на 2026 год в сумме 4 819 200,00 рублей и на 2027 год в сумме 4 819 200,00 рублей;</w:t>
      </w:r>
      <w:proofErr w:type="gramEnd"/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3) Субсидию акционерному обществу "Северречфлот"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тарифам" на 2025 год в сумме 23 601 210,00 рублей, на 2026 год в сумме 21 601 210,00 рублей, на 2027 год в сумме 21 601 210,00 рублей;</w:t>
      </w:r>
      <w:proofErr w:type="gramEnd"/>
    </w:p>
    <w:p w:rsidR="00AD333E" w:rsidRDefault="00AD333E" w:rsidP="00AD333E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4) Субсидию акционерному обществу "ЮТэйр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на 2025 год в сумме 11 000 0000,00 рублей, на 2026 год в сумме 9 081 344,44 рублей, на 2027 год в сумме 10 000 000,00 рублей;</w:t>
      </w:r>
      <w:proofErr w:type="gramEnd"/>
    </w:p>
    <w:p w:rsidR="00AD333E" w:rsidRDefault="00AD333E" w:rsidP="00AD333E">
      <w:pPr>
        <w:pStyle w:val="ConsPlusNormal"/>
        <w:jc w:val="both"/>
      </w:pPr>
      <w:r>
        <w:lastRenderedPageBreak/>
        <w:t xml:space="preserve">(в ред. </w:t>
      </w:r>
      <w:hyperlink r:id="rId24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5) Субсидию акционерному обществу "Кондаавиа" на возмещение затрат по аэропортовым сборам и наземному обслуживанию воздушных судов, выполняющих рейсы по муниципальным маршрутам в границах Кондинского района по регулируемым тарифам на 2025 год в сумме 3 000 0000,00 рублей, на 2026 год в сумме 5 000 000,00 рублей, на 2027 год в сумме 5 000 000,00 рублей;</w:t>
      </w:r>
      <w:proofErr w:type="gramEnd"/>
    </w:p>
    <w:p w:rsidR="00AD333E" w:rsidRDefault="00AD333E" w:rsidP="00AD333E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6) Субсидию акционерному обществу "Кондаавиа"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2025 год в сумме 4 000 0000,00 рублей, на 2026 год в сумме 5 000 000,00 рублей, на 2027 год</w:t>
      </w:r>
      <w:proofErr w:type="gramEnd"/>
      <w:r>
        <w:t xml:space="preserve"> в сумме 5 000 000,00 рублей;</w:t>
      </w:r>
    </w:p>
    <w:p w:rsidR="00AD333E" w:rsidRDefault="00AD333E" w:rsidP="00AD333E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7) Субсидию обществу с ограниченной ответственностью "Автоконд"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на 2025 год в сумме 2 569 300,00 рублей, на 2026 год в сумме 2 569 300,00 рублей, на 2027 год в сумме 2 569 300,00 рублей.</w:t>
      </w:r>
    </w:p>
    <w:p w:rsidR="00AD333E" w:rsidRDefault="00AD333E" w:rsidP="00AD333E">
      <w:pPr>
        <w:pStyle w:val="ConsPlusNormal"/>
        <w:jc w:val="both"/>
      </w:pPr>
      <w:r>
        <w:t xml:space="preserve">(п. 7 </w:t>
      </w:r>
      <w:proofErr w:type="gramStart"/>
      <w:r>
        <w:t>введен</w:t>
      </w:r>
      <w:proofErr w:type="gramEnd"/>
      <w:r>
        <w:t xml:space="preserve"> </w:t>
      </w:r>
      <w:hyperlink r:id="rId27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28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  <w:proofErr w:type="gramEnd"/>
    </w:p>
    <w:p w:rsidR="00AD333E" w:rsidRDefault="00AD333E" w:rsidP="00AD333E">
      <w:pPr>
        <w:pStyle w:val="ConsPlusNormal"/>
        <w:spacing w:before="220"/>
        <w:ind w:firstLine="540"/>
        <w:jc w:val="both"/>
      </w:pPr>
      <w:bookmarkStart w:id="0" w:name="P111"/>
      <w:bookmarkEnd w:id="0"/>
      <w:r>
        <w:t xml:space="preserve">11. </w:t>
      </w:r>
      <w:proofErr w:type="gramStart"/>
      <w:r>
        <w:t>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12.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111">
        <w:r>
          <w:rPr>
            <w:color w:val="0000FF"/>
          </w:rPr>
          <w:t>части 11</w:t>
        </w:r>
      </w:hyperlink>
      <w:r>
        <w:t xml:space="preserve"> настоящего решения.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13. Утвердить объем межбюджетных трансфертов, получаемых из бюджета Ханты-Мансийского автономного округа - Югры: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на 2025 год в сумме 3 679 540 457,00 рублей;</w:t>
      </w:r>
    </w:p>
    <w:p w:rsidR="00AD333E" w:rsidRDefault="00AD333E" w:rsidP="00AD333E">
      <w:pPr>
        <w:pStyle w:val="ConsPlusNormal"/>
        <w:jc w:val="both"/>
      </w:pPr>
      <w:r>
        <w:t xml:space="preserve">(п. 1 в ред. </w:t>
      </w:r>
      <w:hyperlink r:id="rId29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2) на 2026 год в сумме 3 233 684 400,00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на 2027 год в сумме 3 082 097 000,00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14. Утвердить объем межбюджетных трансфертов, получаемых из бюджетов поселений Кондинского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на 2025 год в сумме 331 451 934,19 рублей;</w:t>
      </w:r>
    </w:p>
    <w:p w:rsidR="00AD333E" w:rsidRDefault="00AD333E" w:rsidP="00AD333E">
      <w:pPr>
        <w:pStyle w:val="ConsPlusNormal"/>
        <w:jc w:val="both"/>
      </w:pPr>
      <w:r>
        <w:t xml:space="preserve">(п. 1 в ред. </w:t>
      </w:r>
      <w:hyperlink r:id="rId30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lastRenderedPageBreak/>
        <w:t>2) на 2026 год в сумме 355 352 009,64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на 2027 год в сумме 320 242 188,08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15. Утвердить общий объем межбюджетных </w:t>
      </w:r>
      <w:proofErr w:type="gramStart"/>
      <w:r>
        <w:t>трансфертов</w:t>
      </w:r>
      <w:proofErr w:type="gramEnd"/>
      <w:r>
        <w:t xml:space="preserve"> предоставляемых бюджетам поселений, входящих в состав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1) на 2025 год в сумме 631 020 550,64 рублей, согласно </w:t>
      </w:r>
      <w:hyperlink w:anchor="P18032">
        <w:r>
          <w:rPr>
            <w:color w:val="0000FF"/>
          </w:rPr>
          <w:t>приложению 6</w:t>
        </w:r>
      </w:hyperlink>
      <w:r>
        <w:t xml:space="preserve"> к настоящему решению;</w:t>
      </w:r>
    </w:p>
    <w:p w:rsidR="00AD333E" w:rsidRDefault="00AD333E" w:rsidP="00AD333E">
      <w:pPr>
        <w:pStyle w:val="ConsPlusNormal"/>
        <w:jc w:val="both"/>
      </w:pPr>
      <w:r>
        <w:t xml:space="preserve">(п. 1 в ред. </w:t>
      </w:r>
      <w:hyperlink r:id="rId31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2) на 2026 год в сумме 540 877 500,78 рублей, согласно </w:t>
      </w:r>
      <w:hyperlink w:anchor="P49478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3) на 2027 год в сумме 529 316 434,17 рублей, согласно </w:t>
      </w:r>
      <w:hyperlink w:anchor="P50009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16. Утвердить объем дотаций на выравнивание бюджетной обеспеченности бюджетам поселений: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на 2025 год в сумме 299 819 400,00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2) на 2026 год в сумме 300 787 800,00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на 2027 год в сумме 293 652 600,00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17. Утвердить общий объем субвенций из бюджета района бюджетам поселений в случаях, установленных </w:t>
      </w:r>
      <w:hyperlink r:id="rId32">
        <w:r>
          <w:rPr>
            <w:color w:val="0000FF"/>
          </w:rPr>
          <w:t>статьями 133</w:t>
        </w:r>
      </w:hyperlink>
      <w:r>
        <w:t xml:space="preserve"> и </w:t>
      </w:r>
      <w:hyperlink r:id="rId33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на 2025 год в сумме 6 455 029,45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2) на 2026 год в сумме 6 996 229,45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на 2027 год в сумме 7 222 829,45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на 2025 год в сумме 324 746 121,19 рублей;</w:t>
      </w:r>
    </w:p>
    <w:p w:rsidR="00AD333E" w:rsidRDefault="00AD333E" w:rsidP="00AD333E">
      <w:pPr>
        <w:pStyle w:val="ConsPlusNormal"/>
        <w:jc w:val="both"/>
      </w:pPr>
      <w:r>
        <w:t xml:space="preserve">(п. 1 в ред. </w:t>
      </w:r>
      <w:hyperlink r:id="rId34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2) на 2026 год в сумме 223 093 471,33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на 2027 год в сумме 228 441 004,72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19.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20. Установить, что не 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 рабочих дней - средства федерального бюджета;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10 рабочих дней - средства бюджета Ханты-Мансийского автономного округа - Югры, </w:t>
      </w:r>
      <w:r>
        <w:lastRenderedPageBreak/>
        <w:t>бюджета района.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45 522 903,08 рублей на срок до года, в том числе на срок, выходящий за пределы финансового года, в сумме 20 865 001,25 рублей.</w:t>
      </w:r>
      <w:proofErr w:type="gramEnd"/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22. Установить, что бюджетные кредиты юридическим лицам района предоставляются из бюджета района, в соответствии со </w:t>
      </w:r>
      <w:hyperlink r:id="rId35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36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Югре".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23. Бюджетные кредиты: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  <w:proofErr w:type="gramEnd"/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4) юридическими лицами района срок возврата бюджетных кредитов не может превышать один год с момента их выдачи;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24. Бюджетный кредит предоставляется по письменному заявлению заемщика, направляемому в адрес Комитета по финансам.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Перечень документов, прилагаемых к заявлению, а также порядок рассмотрения заявления о предоставлении бюджетного кредита определяются постановлением администрации района.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25. Утвердить </w:t>
      </w:r>
      <w:hyperlink w:anchor="P50539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2025 год согласно </w:t>
      </w:r>
      <w:r>
        <w:lastRenderedPageBreak/>
        <w:t xml:space="preserve">приложению 14 к настоящему решению и </w:t>
      </w:r>
      <w:hyperlink w:anchor="P50570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плановый период 2026 и 2027 годов согласно приложению 15 к настоящему решению.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26. Утвердить программу муниципальных внутренних заимствований муниципального образования Кондинский район на 2025 год согласно </w:t>
      </w:r>
      <w:hyperlink w:anchor="P50610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2026 и 2027 годов согласно </w:t>
      </w:r>
      <w:hyperlink w:anchor="P50642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28. Утвердить источники внутреннего финансирования дефицита бюджета муниципального образования Кондинский район: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50686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50781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 xml:space="preserve">Комитет по финансам в соответствии с </w:t>
      </w:r>
      <w:hyperlink r:id="rId37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38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Кондинского района от 15 сентября 2011 года N 133 "Об утверждении Положения о бюджетном процессе в муниципальном образовании Кондинский район" вправе вносить изменения в показатели сводной бюджетной росписи бюджета района без внесения изменений в решение о бюджете, по</w:t>
      </w:r>
      <w:proofErr w:type="gramEnd"/>
      <w:r>
        <w:t xml:space="preserve"> следующим дополнительным основаниям: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  <w:proofErr w:type="gramEnd"/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lastRenderedPageBreak/>
        <w:t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дополнительных мероприятий в сфере национальной обороны и безопасности;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>10) перераспределение бюджетных ассигнований иным образом зарезервированных на социально значимые расходы, на обеспечение доли софинансирования бюджета района при участии в государственных программах автономного округа, предоставление межбюджетных трансфертов бюджетам поселений в границах Кондинского района и в иных случаях по 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</w:t>
      </w:r>
      <w:proofErr w:type="gramEnd"/>
      <w:r>
        <w:t xml:space="preserve"> бюджета.</w:t>
      </w:r>
    </w:p>
    <w:p w:rsidR="00AD333E" w:rsidRDefault="00AD333E" w:rsidP="00AD333E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39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</w:t>
      </w:r>
      <w:proofErr w:type="gramStart"/>
      <w:r>
        <w:t>с</w:t>
      </w:r>
      <w:proofErr w:type="gramEnd"/>
      <w:r>
        <w:t>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оплатой труда и начислениями на выплаты по оплате труда;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выплатой субсидий автономным и бюджетным учреждениям;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социальным обеспечением населения;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лекарственным обеспечением;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обеспечением питанием;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оплатой коммунальных услуг;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предоставлением межбюджетных трансфертов бюджетам муниципальных образований Кондинского района в части дотаций.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bookmarkStart w:id="1" w:name="P185"/>
      <w:bookmarkEnd w:id="1"/>
      <w:r>
        <w:t xml:space="preserve"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</w:t>
      </w:r>
      <w:r>
        <w:lastRenderedPageBreak/>
        <w:t>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Комитете по финансам в установленном им порядке.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185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Кондинского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32. Установить, что в 2025 году Комитет по финансам осуществляет казначейское сопровождение средств, указанных в </w:t>
      </w:r>
      <w:hyperlink w:anchor="P191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Кондинский район.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bookmarkStart w:id="2" w:name="P191"/>
      <w:bookmarkEnd w:id="2"/>
      <w:r>
        <w:t>1) Казначейскому сопровождению подлежат: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с законодательством Российской Федерации;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 xml:space="preserve">в) расчеты по муниципальным контрактам, заключаемым в соответствии с </w:t>
      </w:r>
      <w:hyperlink r:id="rId40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</w:t>
      </w:r>
      <w:proofErr w:type="gramEnd"/>
      <w:r>
        <w:t xml:space="preserve"> на сумму более 3 миллионов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г) иные средства, определенные правовым актом Администрации Кондинского района;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proofErr w:type="gramStart"/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41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  <w:proofErr w:type="gramEnd"/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33. Установить, что средства, зачисленные в бюджет района от доходов указанных в </w:t>
      </w:r>
      <w:hyperlink r:id="rId42">
        <w:r>
          <w:rPr>
            <w:color w:val="0000FF"/>
          </w:rPr>
          <w:t>пункте 1 статьи 16.6</w:t>
        </w:r>
      </w:hyperlink>
      <w:r>
        <w:t xml:space="preserve">, </w:t>
      </w:r>
      <w:hyperlink r:id="rId43">
        <w:r>
          <w:rPr>
            <w:color w:val="0000FF"/>
          </w:rPr>
          <w:t>пункте 1 статьи 75.1</w:t>
        </w:r>
      </w:hyperlink>
      <w:r>
        <w:t xml:space="preserve">, </w:t>
      </w:r>
      <w:hyperlink r:id="rId44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lastRenderedPageBreak/>
        <w:t>Объем экологических платежей бюджета района: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а) на 2025 год - 7 561 197,59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б) на 2026 год - 7 561 197,59 рублей;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в) на 2027 год - 7 561 197,59 рублей.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34. Настоящее решение опубликовать в газете "Кондинский вестник" и разместить на официальном сайте органов местного самоуправления Кондинского района.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>35. Настоящее решение вступает в силу с 1 января 2025 года.</w:t>
      </w:r>
    </w:p>
    <w:p w:rsidR="00AD333E" w:rsidRDefault="00AD333E" w:rsidP="00AD333E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Кондинского района Р.В. Бринстера и главу Кондинского района А.В. Зяблицева в соответствии с их компетенцией.</w:t>
      </w:r>
    </w:p>
    <w:p w:rsidR="00AD333E" w:rsidRDefault="00AD333E" w:rsidP="00AD333E">
      <w:pPr>
        <w:pStyle w:val="ConsPlusNormal"/>
        <w:ind w:firstLine="540"/>
        <w:jc w:val="both"/>
      </w:pPr>
    </w:p>
    <w:p w:rsidR="00AD333E" w:rsidRDefault="00AD333E" w:rsidP="00AD333E">
      <w:pPr>
        <w:pStyle w:val="ConsPlusNormal"/>
        <w:jc w:val="right"/>
      </w:pPr>
      <w:r>
        <w:t>Председатель Думы Кондинского района</w:t>
      </w:r>
    </w:p>
    <w:p w:rsidR="00AD333E" w:rsidRDefault="00AD333E" w:rsidP="00AD333E">
      <w:pPr>
        <w:pStyle w:val="ConsPlusNormal"/>
        <w:jc w:val="right"/>
      </w:pPr>
      <w:r>
        <w:t>Р.В.БРИНСТЕР</w:t>
      </w:r>
    </w:p>
    <w:p w:rsidR="00AD333E" w:rsidRDefault="00AD333E" w:rsidP="00AD333E">
      <w:pPr>
        <w:pStyle w:val="ConsPlusNormal"/>
        <w:jc w:val="right"/>
      </w:pPr>
    </w:p>
    <w:p w:rsidR="00AD333E" w:rsidRDefault="00AD333E" w:rsidP="00AD333E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AD333E" w:rsidRDefault="00AD333E" w:rsidP="00AD333E">
      <w:pPr>
        <w:pStyle w:val="ConsPlusNormal"/>
        <w:jc w:val="right"/>
      </w:pPr>
      <w:r>
        <w:t>главы Кондинского района</w:t>
      </w:r>
    </w:p>
    <w:p w:rsidR="00AD333E" w:rsidRDefault="00AD333E" w:rsidP="00AD333E">
      <w:pPr>
        <w:pStyle w:val="ConsPlusNormal"/>
        <w:jc w:val="right"/>
      </w:pPr>
      <w:r>
        <w:t>А.В.КРИВОНОГОВ</w:t>
      </w:r>
    </w:p>
    <w:p w:rsidR="00AD333E" w:rsidRDefault="00AD333E" w:rsidP="00AD333E">
      <w:pPr>
        <w:pStyle w:val="ConsPlusNormal"/>
      </w:pPr>
    </w:p>
    <w:p w:rsidR="00F0724A" w:rsidRDefault="00F0724A">
      <w:bookmarkStart w:id="3" w:name="_GoBack"/>
      <w:bookmarkEnd w:id="3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C9"/>
    <w:rsid w:val="004F56C9"/>
    <w:rsid w:val="00AD333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3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D33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D33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3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D33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D33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90&amp;dst=91" TargetMode="External"/><Relationship Id="rId13" Type="http://schemas.openxmlformats.org/officeDocument/2006/relationships/hyperlink" Target="https://login.consultant.ru/link/?req=doc&amp;base=RLAW926&amp;n=297779&amp;dst=100020" TargetMode="External"/><Relationship Id="rId18" Type="http://schemas.openxmlformats.org/officeDocument/2006/relationships/hyperlink" Target="https://login.consultant.ru/link/?req=doc&amp;base=RLAW926&amp;n=319267&amp;dst=100012" TargetMode="External"/><Relationship Id="rId26" Type="http://schemas.openxmlformats.org/officeDocument/2006/relationships/hyperlink" Target="https://login.consultant.ru/link/?req=doc&amp;base=RLAW926&amp;n=318130&amp;dst=100033" TargetMode="External"/><Relationship Id="rId39" Type="http://schemas.openxmlformats.org/officeDocument/2006/relationships/hyperlink" Target="https://login.consultant.ru/link/?req=doc&amp;base=RLAW926&amp;n=318130&amp;dst=10004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6790&amp;dst=103395" TargetMode="External"/><Relationship Id="rId34" Type="http://schemas.openxmlformats.org/officeDocument/2006/relationships/hyperlink" Target="https://login.consultant.ru/link/?req=doc&amp;base=RLAW926&amp;n=319267&amp;dst=100019" TargetMode="External"/><Relationship Id="rId42" Type="http://schemas.openxmlformats.org/officeDocument/2006/relationships/hyperlink" Target="https://login.consultant.ru/link/?req=doc&amp;base=LAW&amp;n=481447&amp;dst=1084" TargetMode="External"/><Relationship Id="rId7" Type="http://schemas.openxmlformats.org/officeDocument/2006/relationships/hyperlink" Target="https://login.consultant.ru/link/?req=doc&amp;base=RLAW926&amp;n=319267&amp;dst=100005" TargetMode="External"/><Relationship Id="rId12" Type="http://schemas.openxmlformats.org/officeDocument/2006/relationships/hyperlink" Target="https://login.consultant.ru/link/?req=doc&amp;base=RLAW926&amp;n=314513&amp;dst=100839" TargetMode="External"/><Relationship Id="rId17" Type="http://schemas.openxmlformats.org/officeDocument/2006/relationships/hyperlink" Target="https://login.consultant.ru/link/?req=doc&amp;base=RLAW926&amp;n=319267&amp;dst=100010" TargetMode="External"/><Relationship Id="rId25" Type="http://schemas.openxmlformats.org/officeDocument/2006/relationships/hyperlink" Target="https://login.consultant.ru/link/?req=doc&amp;base=RLAW926&amp;n=318130&amp;dst=100032" TargetMode="External"/><Relationship Id="rId33" Type="http://schemas.openxmlformats.org/officeDocument/2006/relationships/hyperlink" Target="https://login.consultant.ru/link/?req=doc&amp;base=LAW&amp;n=466790&amp;dst=2141" TargetMode="External"/><Relationship Id="rId38" Type="http://schemas.openxmlformats.org/officeDocument/2006/relationships/hyperlink" Target="https://login.consultant.ru/link/?req=doc&amp;base=RLAW926&amp;n=297779&amp;dst=100512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318130&amp;dst=100010" TargetMode="External"/><Relationship Id="rId20" Type="http://schemas.openxmlformats.org/officeDocument/2006/relationships/hyperlink" Target="https://login.consultant.ru/link/?req=doc&amp;base=RLAW926&amp;n=318130&amp;dst=100028" TargetMode="External"/><Relationship Id="rId29" Type="http://schemas.openxmlformats.org/officeDocument/2006/relationships/hyperlink" Target="https://login.consultant.ru/link/?req=doc&amp;base=RLAW926&amp;n=319267&amp;dst=100013" TargetMode="External"/><Relationship Id="rId41" Type="http://schemas.openxmlformats.org/officeDocument/2006/relationships/hyperlink" Target="https://login.consultant.ru/link/?req=doc&amp;base=LAW&amp;n=466790&amp;dst=678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8130&amp;dst=100005" TargetMode="External"/><Relationship Id="rId11" Type="http://schemas.openxmlformats.org/officeDocument/2006/relationships/hyperlink" Target="https://login.consultant.ru/link/?req=doc&amp;base=RLAW926&amp;n=314513&amp;dst=100250" TargetMode="External"/><Relationship Id="rId24" Type="http://schemas.openxmlformats.org/officeDocument/2006/relationships/hyperlink" Target="https://login.consultant.ru/link/?req=doc&amp;base=RLAW926&amp;n=318130&amp;dst=100031" TargetMode="External"/><Relationship Id="rId32" Type="http://schemas.openxmlformats.org/officeDocument/2006/relationships/hyperlink" Target="https://login.consultant.ru/link/?req=doc&amp;base=LAW&amp;n=466790&amp;dst=2068" TargetMode="External"/><Relationship Id="rId37" Type="http://schemas.openxmlformats.org/officeDocument/2006/relationships/hyperlink" Target="https://login.consultant.ru/link/?req=doc&amp;base=LAW&amp;n=466790&amp;dst=4329" TargetMode="External"/><Relationship Id="rId40" Type="http://schemas.openxmlformats.org/officeDocument/2006/relationships/hyperlink" Target="https://login.consultant.ru/link/?req=doc&amp;base=LAW&amp;n=483361&amp;dst=12254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319267&amp;dst=100008" TargetMode="External"/><Relationship Id="rId23" Type="http://schemas.openxmlformats.org/officeDocument/2006/relationships/hyperlink" Target="https://login.consultant.ru/link/?req=doc&amp;base=RLAW926&amp;n=318130&amp;dst=100030" TargetMode="External"/><Relationship Id="rId28" Type="http://schemas.openxmlformats.org/officeDocument/2006/relationships/hyperlink" Target="https://login.consultant.ru/link/?req=doc&amp;base=LAW&amp;n=466790&amp;dst=103431" TargetMode="External"/><Relationship Id="rId36" Type="http://schemas.openxmlformats.org/officeDocument/2006/relationships/hyperlink" Target="https://login.consultant.ru/link/?req=doc&amp;base=RLAW926&amp;n=297423" TargetMode="External"/><Relationship Id="rId10" Type="http://schemas.openxmlformats.org/officeDocument/2006/relationships/hyperlink" Target="https://login.consultant.ru/link/?req=doc&amp;base=LAW&amp;n=480999&amp;dst=560" TargetMode="External"/><Relationship Id="rId19" Type="http://schemas.openxmlformats.org/officeDocument/2006/relationships/hyperlink" Target="https://login.consultant.ru/link/?req=doc&amp;base=RLAW926&amp;n=318130&amp;dst=100014" TargetMode="External"/><Relationship Id="rId31" Type="http://schemas.openxmlformats.org/officeDocument/2006/relationships/hyperlink" Target="https://login.consultant.ru/link/?req=doc&amp;base=RLAW926&amp;n=319267&amp;dst=100017" TargetMode="External"/><Relationship Id="rId44" Type="http://schemas.openxmlformats.org/officeDocument/2006/relationships/hyperlink" Target="https://login.consultant.ru/link/?req=doc&amp;base=LAW&amp;n=481447&amp;dst=10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0999&amp;dst=537" TargetMode="External"/><Relationship Id="rId14" Type="http://schemas.openxmlformats.org/officeDocument/2006/relationships/hyperlink" Target="https://login.consultant.ru/link/?req=doc&amp;base=RLAW926&amp;n=319267&amp;dst=100006" TargetMode="External"/><Relationship Id="rId22" Type="http://schemas.openxmlformats.org/officeDocument/2006/relationships/hyperlink" Target="https://login.consultant.ru/link/?req=doc&amp;base=LAW&amp;n=466790&amp;dst=103431" TargetMode="External"/><Relationship Id="rId27" Type="http://schemas.openxmlformats.org/officeDocument/2006/relationships/hyperlink" Target="https://login.consultant.ru/link/?req=doc&amp;base=RLAW926&amp;n=318130&amp;dst=100034" TargetMode="External"/><Relationship Id="rId30" Type="http://schemas.openxmlformats.org/officeDocument/2006/relationships/hyperlink" Target="https://login.consultant.ru/link/?req=doc&amp;base=RLAW926&amp;n=319267&amp;dst=100015" TargetMode="External"/><Relationship Id="rId35" Type="http://schemas.openxmlformats.org/officeDocument/2006/relationships/hyperlink" Target="https://login.consultant.ru/link/?req=doc&amp;base=LAW&amp;n=466790&amp;dst=1513" TargetMode="External"/><Relationship Id="rId43" Type="http://schemas.openxmlformats.org/officeDocument/2006/relationships/hyperlink" Target="https://login.consultant.ru/link/?req=doc&amp;base=LAW&amp;n=481447&amp;dst=10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5320</Words>
  <Characters>30326</Characters>
  <Application>Microsoft Office Word</Application>
  <DocSecurity>0</DocSecurity>
  <Lines>252</Lines>
  <Paragraphs>71</Paragraphs>
  <ScaleCrop>false</ScaleCrop>
  <Company/>
  <LinksUpToDate>false</LinksUpToDate>
  <CharactersWithSpaces>35575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2025-03-04T04:27:00Z</dcterms:created>
  <dcterms:modified xsi:type="dcterms:W3CDTF">2025-03-04T04:28:00Z</dcterms:modified>
</cp:coreProperties>
</file>